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469B9" w:rsidRDefault="00D75558" w:rsidP="006469B9">
      <w:pPr>
        <w:pStyle w:val="10"/>
        <w:spacing w:before="48"/>
        <w:ind w:left="119" w:right="120"/>
        <w:jc w:val="center"/>
        <w:rPr>
          <w:b/>
          <w:sz w:val="24"/>
          <w:szCs w:val="24"/>
        </w:rPr>
      </w:pPr>
      <w:r>
        <w:rPr>
          <w:b/>
          <w:sz w:val="24"/>
          <w:szCs w:val="24"/>
        </w:rPr>
        <w:t>Порядок проведения, методика и система оценивания (</w:t>
      </w:r>
      <w:r w:rsidR="0044771C">
        <w:rPr>
          <w:b/>
          <w:sz w:val="24"/>
          <w:szCs w:val="24"/>
        </w:rPr>
        <w:t>проверки) муниципального этапа в</w:t>
      </w:r>
      <w:r>
        <w:rPr>
          <w:b/>
          <w:sz w:val="24"/>
          <w:szCs w:val="24"/>
        </w:rPr>
        <w:t>сероссийской олимпиады школьников</w:t>
      </w:r>
      <w:r w:rsidR="006469B9">
        <w:t xml:space="preserve"> </w:t>
      </w:r>
      <w:proofErr w:type="gramStart"/>
      <w:r w:rsidR="00376B24">
        <w:rPr>
          <w:b/>
          <w:sz w:val="24"/>
          <w:szCs w:val="24"/>
        </w:rPr>
        <w:t>п</w:t>
      </w:r>
      <w:r w:rsidR="00422EE8">
        <w:rPr>
          <w:b/>
          <w:sz w:val="24"/>
          <w:szCs w:val="24"/>
        </w:rPr>
        <w:t>о  математике</w:t>
      </w:r>
      <w:proofErr w:type="gramEnd"/>
      <w:r w:rsidR="00422EE8">
        <w:rPr>
          <w:b/>
          <w:sz w:val="24"/>
          <w:szCs w:val="24"/>
        </w:rPr>
        <w:t xml:space="preserve">  8-11 классов</w:t>
      </w:r>
    </w:p>
    <w:p w:rsidR="005D792D" w:rsidRDefault="00422EE8" w:rsidP="006469B9">
      <w:pPr>
        <w:pStyle w:val="10"/>
        <w:spacing w:before="48"/>
        <w:ind w:left="119" w:right="120"/>
        <w:jc w:val="center"/>
      </w:pPr>
      <w:bookmarkStart w:id="0" w:name="_GoBack"/>
      <w:bookmarkEnd w:id="0"/>
      <w:r>
        <w:rPr>
          <w:b/>
          <w:sz w:val="24"/>
          <w:szCs w:val="24"/>
        </w:rPr>
        <w:t xml:space="preserve"> 2020–2021</w:t>
      </w:r>
      <w:r w:rsidR="00D75558">
        <w:rPr>
          <w:b/>
          <w:sz w:val="24"/>
          <w:szCs w:val="24"/>
        </w:rPr>
        <w:t xml:space="preserve">  учебного года</w:t>
      </w:r>
    </w:p>
    <w:p w:rsidR="005D792D" w:rsidRDefault="005D792D">
      <w:pPr>
        <w:pStyle w:val="10"/>
        <w:spacing w:before="9"/>
      </w:pPr>
    </w:p>
    <w:p w:rsidR="005D792D" w:rsidRDefault="00D75558">
      <w:pPr>
        <w:pStyle w:val="10"/>
        <w:ind w:left="119" w:right="120" w:firstLine="478"/>
        <w:jc w:val="both"/>
      </w:pPr>
      <w:r>
        <w:rPr>
          <w:sz w:val="24"/>
          <w:szCs w:val="24"/>
        </w:rPr>
        <w:t xml:space="preserve">Задания содержат по 5 задач для каждого класса. В каждом задании необходимо записать не только ответ, но и полное решение. Только ответы без обоснования оцениваются намного ниже. Решение каждой задачи оценивается целым числом баллов от 0 до 7. Максимальное количество  баллов,  которое  может  получить  участник,  равно 35. Олимпиада длится </w:t>
      </w:r>
      <w:r>
        <w:rPr>
          <w:b/>
          <w:sz w:val="24"/>
          <w:szCs w:val="24"/>
        </w:rPr>
        <w:t>240 минут</w:t>
      </w:r>
      <w:r>
        <w:rPr>
          <w:sz w:val="24"/>
          <w:szCs w:val="24"/>
        </w:rPr>
        <w:t>.</w:t>
      </w:r>
    </w:p>
    <w:p w:rsidR="005D792D" w:rsidRDefault="005D792D">
      <w:pPr>
        <w:pStyle w:val="10"/>
        <w:ind w:left="119" w:right="120" w:firstLine="478"/>
        <w:jc w:val="both"/>
      </w:pPr>
    </w:p>
    <w:p w:rsidR="005D792D" w:rsidRDefault="00D75558">
      <w:pPr>
        <w:pStyle w:val="10"/>
        <w:widowControl/>
        <w:ind w:firstLine="567"/>
        <w:jc w:val="both"/>
      </w:pPr>
      <w:r>
        <w:rPr>
          <w:sz w:val="24"/>
          <w:szCs w:val="24"/>
        </w:rPr>
        <w:t>Участникам во время проведения олимпиады 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5D792D" w:rsidRDefault="00D75558">
      <w:pPr>
        <w:pStyle w:val="10"/>
        <w:widowControl/>
        <w:ind w:firstLine="567"/>
        <w:jc w:val="both"/>
      </w:pPr>
      <w:r>
        <w:rPr>
          <w:sz w:val="24"/>
          <w:szCs w:val="24"/>
        </w:rPr>
        <w:t>Время начала олимпиады в разных кабинетах может отличаться. Важно, чтобы школьникам на написание работы было выделено ровно столько минут, сколько положено для их класса (с момента получения заданий). Рекомендуем написать на доске время начала олимпиады и время окончания. Например, начало – 9:36, окончание – 13:36. Досрочная сдача работы разрешается.</w:t>
      </w:r>
    </w:p>
    <w:p w:rsidR="005D792D" w:rsidRDefault="00376B24" w:rsidP="00376B24">
      <w:pPr>
        <w:pStyle w:val="10"/>
        <w:widowControl/>
        <w:ind w:firstLine="119"/>
        <w:jc w:val="both"/>
      </w:pPr>
      <w:r>
        <w:t xml:space="preserve">     </w:t>
      </w:r>
      <w:r w:rsidR="00D75558">
        <w:rPr>
          <w:sz w:val="24"/>
          <w:szCs w:val="24"/>
        </w:rPr>
        <w:t xml:space="preserve">Для выполнения заданий олимпиады каждому участнику требуется тетрадь в клетку в силу того, что на математических олимпиадах предлагаются задачи на разрезание фигур, задачи на клетчатых досках, задачи, требующие построения рисунков и графиков. Рекомендуется выдача отдельных листов для черновиков. Участники используют свои письменные принадлежности: авторучка с синими, фиолетовыми или черными чернилами, циркуль, линейка, карандаши. Запрещено использование для записи решений ручек с красными или зелеными чернилами. </w:t>
      </w:r>
    </w:p>
    <w:p w:rsidR="005D792D" w:rsidRDefault="00D75558" w:rsidP="00376B24">
      <w:pPr>
        <w:pStyle w:val="10"/>
        <w:widowControl/>
        <w:ind w:firstLine="567"/>
        <w:jc w:val="both"/>
      </w:pPr>
      <w:r>
        <w:rPr>
          <w:sz w:val="24"/>
          <w:szCs w:val="24"/>
        </w:rPr>
        <w:t xml:space="preserve"> </w:t>
      </w:r>
    </w:p>
    <w:p w:rsidR="005D792D" w:rsidRDefault="00D75558">
      <w:pPr>
        <w:pStyle w:val="10"/>
        <w:ind w:left="119" w:right="120" w:firstLine="478"/>
        <w:jc w:val="both"/>
      </w:pPr>
      <w:r>
        <w:rPr>
          <w:b/>
          <w:sz w:val="24"/>
          <w:szCs w:val="24"/>
        </w:rPr>
        <w:t>Методика оценивания выполнения олимпиадных заданий (8-11 класс)</w:t>
      </w:r>
    </w:p>
    <w:p w:rsidR="005D792D" w:rsidRDefault="005D792D">
      <w:pPr>
        <w:pStyle w:val="10"/>
        <w:ind w:left="119" w:right="120" w:firstLine="478"/>
        <w:jc w:val="both"/>
      </w:pPr>
    </w:p>
    <w:p w:rsidR="005D792D" w:rsidRDefault="00D75558">
      <w:pPr>
        <w:pStyle w:val="10"/>
        <w:ind w:left="119" w:right="120" w:firstLine="478"/>
        <w:jc w:val="both"/>
      </w:pPr>
      <w:r>
        <w:rPr>
          <w:sz w:val="24"/>
          <w:szCs w:val="24"/>
        </w:rPr>
        <w:t>Во время проверки работ муниципального этапа районные комиссии могут задавать вопросы по критериям оценивания и спорным случаям членам республиканской предметно-методической комиссии по математике. Вопросы можно задавать по электронной почте: kazan-mat@mail.ru</w:t>
      </w:r>
    </w:p>
    <w:p w:rsidR="005D792D" w:rsidRDefault="005D792D">
      <w:pPr>
        <w:pStyle w:val="10"/>
        <w:ind w:left="119" w:right="120" w:firstLine="478"/>
        <w:jc w:val="both"/>
      </w:pPr>
    </w:p>
    <w:tbl>
      <w:tblPr>
        <w:tblStyle w:val="a5"/>
        <w:tblW w:w="988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7087"/>
      </w:tblGrid>
      <w:tr w:rsidR="005D792D">
        <w:trPr>
          <w:trHeight w:val="100"/>
        </w:trPr>
        <w:tc>
          <w:tcPr>
            <w:tcW w:w="2802" w:type="dxa"/>
          </w:tcPr>
          <w:p w:rsidR="005D792D" w:rsidRDefault="00D75558">
            <w:pPr>
              <w:pStyle w:val="10"/>
              <w:widowControl/>
              <w:jc w:val="both"/>
            </w:pPr>
            <w:r>
              <w:rPr>
                <w:sz w:val="24"/>
                <w:szCs w:val="24"/>
              </w:rPr>
              <w:t>Баллы (общие критерии)</w:t>
            </w:r>
          </w:p>
        </w:tc>
        <w:tc>
          <w:tcPr>
            <w:tcW w:w="7087" w:type="dxa"/>
          </w:tcPr>
          <w:p w:rsidR="005D792D" w:rsidRDefault="00D75558">
            <w:pPr>
              <w:pStyle w:val="10"/>
              <w:widowControl/>
              <w:jc w:val="both"/>
            </w:pPr>
            <w:r>
              <w:rPr>
                <w:sz w:val="24"/>
                <w:szCs w:val="24"/>
              </w:rPr>
              <w:t xml:space="preserve">Правильность (ошибочность) решения </w:t>
            </w:r>
          </w:p>
        </w:tc>
      </w:tr>
      <w:tr w:rsidR="005D792D">
        <w:trPr>
          <w:trHeight w:val="100"/>
        </w:trPr>
        <w:tc>
          <w:tcPr>
            <w:tcW w:w="2802" w:type="dxa"/>
          </w:tcPr>
          <w:p w:rsidR="005D792D" w:rsidRDefault="00D75558">
            <w:pPr>
              <w:pStyle w:val="10"/>
              <w:widowControl/>
              <w:jc w:val="both"/>
            </w:pPr>
            <w:r>
              <w:rPr>
                <w:sz w:val="24"/>
                <w:szCs w:val="24"/>
              </w:rPr>
              <w:t xml:space="preserve">7 </w:t>
            </w:r>
          </w:p>
        </w:tc>
        <w:tc>
          <w:tcPr>
            <w:tcW w:w="7087" w:type="dxa"/>
          </w:tcPr>
          <w:p w:rsidR="005D792D" w:rsidRDefault="00D75558">
            <w:pPr>
              <w:pStyle w:val="10"/>
              <w:widowControl/>
              <w:jc w:val="both"/>
            </w:pPr>
            <w:r>
              <w:rPr>
                <w:sz w:val="24"/>
                <w:szCs w:val="24"/>
              </w:rPr>
              <w:t xml:space="preserve">Полное верное решение. </w:t>
            </w:r>
          </w:p>
        </w:tc>
      </w:tr>
      <w:tr w:rsidR="005D792D">
        <w:trPr>
          <w:trHeight w:val="300"/>
        </w:trPr>
        <w:tc>
          <w:tcPr>
            <w:tcW w:w="2802" w:type="dxa"/>
          </w:tcPr>
          <w:p w:rsidR="005D792D" w:rsidRDefault="00D75558">
            <w:pPr>
              <w:pStyle w:val="10"/>
              <w:widowControl/>
              <w:jc w:val="both"/>
            </w:pPr>
            <w:r>
              <w:rPr>
                <w:sz w:val="24"/>
                <w:szCs w:val="24"/>
              </w:rPr>
              <w:t xml:space="preserve">6-7 </w:t>
            </w:r>
          </w:p>
        </w:tc>
        <w:tc>
          <w:tcPr>
            <w:tcW w:w="7087" w:type="dxa"/>
          </w:tcPr>
          <w:p w:rsidR="005D792D" w:rsidRDefault="00D75558">
            <w:pPr>
              <w:pStyle w:val="10"/>
              <w:widowControl/>
              <w:jc w:val="both"/>
            </w:pPr>
            <w:r>
              <w:rPr>
                <w:sz w:val="24"/>
                <w:szCs w:val="24"/>
              </w:rPr>
              <w:t xml:space="preserve">Верное решение. Имеются небольшие недочеты, в целом не влияющие на решение. </w:t>
            </w:r>
          </w:p>
        </w:tc>
      </w:tr>
      <w:tr w:rsidR="005D792D">
        <w:trPr>
          <w:trHeight w:val="580"/>
        </w:trPr>
        <w:tc>
          <w:tcPr>
            <w:tcW w:w="2802" w:type="dxa"/>
          </w:tcPr>
          <w:p w:rsidR="005D792D" w:rsidRDefault="00D75558">
            <w:pPr>
              <w:pStyle w:val="10"/>
              <w:widowControl/>
              <w:jc w:val="both"/>
            </w:pPr>
            <w:r>
              <w:rPr>
                <w:sz w:val="24"/>
                <w:szCs w:val="24"/>
              </w:rPr>
              <w:t xml:space="preserve">5-6 </w:t>
            </w:r>
          </w:p>
        </w:tc>
        <w:tc>
          <w:tcPr>
            <w:tcW w:w="7087" w:type="dxa"/>
          </w:tcPr>
          <w:p w:rsidR="005D792D" w:rsidRDefault="00D75558">
            <w:pPr>
              <w:pStyle w:val="10"/>
              <w:widowControl/>
              <w:jc w:val="both"/>
            </w:pPr>
            <w:r>
              <w:rPr>
                <w:sz w:val="24"/>
                <w:szCs w:val="24"/>
              </w:rPr>
              <w:t xml:space="preserve">Решение содержит незначительные ошибки, пробелы в обоснованиях, но в целом верно и может стать полностью правильным после небольших исправлений или дополнений. </w:t>
            </w:r>
          </w:p>
        </w:tc>
      </w:tr>
      <w:tr w:rsidR="005D792D">
        <w:trPr>
          <w:trHeight w:val="100"/>
        </w:trPr>
        <w:tc>
          <w:tcPr>
            <w:tcW w:w="2802" w:type="dxa"/>
          </w:tcPr>
          <w:p w:rsidR="005D792D" w:rsidRDefault="00D75558">
            <w:pPr>
              <w:pStyle w:val="10"/>
              <w:widowControl/>
              <w:jc w:val="both"/>
            </w:pPr>
            <w:r>
              <w:rPr>
                <w:sz w:val="24"/>
                <w:szCs w:val="24"/>
              </w:rPr>
              <w:t xml:space="preserve">4 </w:t>
            </w:r>
          </w:p>
        </w:tc>
        <w:tc>
          <w:tcPr>
            <w:tcW w:w="7087" w:type="dxa"/>
          </w:tcPr>
          <w:p w:rsidR="005D792D" w:rsidRDefault="00D75558">
            <w:pPr>
              <w:pStyle w:val="10"/>
              <w:widowControl/>
              <w:jc w:val="both"/>
            </w:pPr>
            <w:r>
              <w:rPr>
                <w:sz w:val="24"/>
                <w:szCs w:val="24"/>
              </w:rPr>
              <w:t xml:space="preserve">Верно рассмотрен один из двух (более сложный) существенных случаев. </w:t>
            </w:r>
          </w:p>
        </w:tc>
      </w:tr>
      <w:tr w:rsidR="005D792D">
        <w:trPr>
          <w:trHeight w:val="100"/>
        </w:trPr>
        <w:tc>
          <w:tcPr>
            <w:tcW w:w="2802" w:type="dxa"/>
          </w:tcPr>
          <w:p w:rsidR="005D792D" w:rsidRDefault="00D75558">
            <w:pPr>
              <w:pStyle w:val="10"/>
              <w:widowControl/>
              <w:jc w:val="both"/>
            </w:pPr>
            <w:r>
              <w:rPr>
                <w:sz w:val="24"/>
                <w:szCs w:val="24"/>
              </w:rPr>
              <w:t xml:space="preserve">2-3 </w:t>
            </w:r>
          </w:p>
        </w:tc>
        <w:tc>
          <w:tcPr>
            <w:tcW w:w="7087" w:type="dxa"/>
          </w:tcPr>
          <w:p w:rsidR="005D792D" w:rsidRDefault="00D75558">
            <w:pPr>
              <w:pStyle w:val="10"/>
              <w:widowControl/>
              <w:jc w:val="both"/>
            </w:pPr>
            <w:r>
              <w:rPr>
                <w:sz w:val="24"/>
                <w:szCs w:val="24"/>
              </w:rPr>
              <w:t xml:space="preserve">Доказаны вспомогательные утверждения, помогающие в решении задачи. </w:t>
            </w:r>
          </w:p>
        </w:tc>
      </w:tr>
      <w:tr w:rsidR="005D792D">
        <w:trPr>
          <w:trHeight w:val="100"/>
        </w:trPr>
        <w:tc>
          <w:tcPr>
            <w:tcW w:w="2802" w:type="dxa"/>
          </w:tcPr>
          <w:p w:rsidR="005D792D" w:rsidRDefault="00D75558">
            <w:pPr>
              <w:pStyle w:val="10"/>
              <w:widowControl/>
              <w:jc w:val="both"/>
            </w:pPr>
            <w:r>
              <w:rPr>
                <w:sz w:val="24"/>
                <w:szCs w:val="24"/>
              </w:rPr>
              <w:t xml:space="preserve">1 </w:t>
            </w:r>
          </w:p>
        </w:tc>
        <w:tc>
          <w:tcPr>
            <w:tcW w:w="7087" w:type="dxa"/>
          </w:tcPr>
          <w:p w:rsidR="005D792D" w:rsidRDefault="00D75558">
            <w:pPr>
              <w:pStyle w:val="10"/>
              <w:widowControl/>
              <w:jc w:val="both"/>
            </w:pPr>
            <w:r>
              <w:rPr>
                <w:sz w:val="24"/>
                <w:szCs w:val="24"/>
              </w:rPr>
              <w:t xml:space="preserve">Рассмотрены отдельные важные случаи при отсутствии решения (или при ошибочном решении). </w:t>
            </w:r>
          </w:p>
        </w:tc>
      </w:tr>
      <w:tr w:rsidR="005D792D">
        <w:trPr>
          <w:trHeight w:val="100"/>
        </w:trPr>
        <w:tc>
          <w:tcPr>
            <w:tcW w:w="2802" w:type="dxa"/>
          </w:tcPr>
          <w:p w:rsidR="005D792D" w:rsidRDefault="00D75558">
            <w:pPr>
              <w:pStyle w:val="10"/>
              <w:widowControl/>
              <w:jc w:val="both"/>
            </w:pPr>
            <w:r>
              <w:rPr>
                <w:sz w:val="24"/>
                <w:szCs w:val="24"/>
              </w:rPr>
              <w:t xml:space="preserve">0 </w:t>
            </w:r>
          </w:p>
        </w:tc>
        <w:tc>
          <w:tcPr>
            <w:tcW w:w="7087" w:type="dxa"/>
          </w:tcPr>
          <w:p w:rsidR="005D792D" w:rsidRDefault="00D75558">
            <w:pPr>
              <w:pStyle w:val="10"/>
              <w:widowControl/>
              <w:jc w:val="both"/>
            </w:pPr>
            <w:r>
              <w:rPr>
                <w:sz w:val="24"/>
                <w:szCs w:val="24"/>
              </w:rPr>
              <w:t>Решение неверное, продвижения отсутствуют или решение отсутствует.</w:t>
            </w:r>
          </w:p>
        </w:tc>
      </w:tr>
    </w:tbl>
    <w:p w:rsidR="005D792D" w:rsidRDefault="00D75558">
      <w:pPr>
        <w:pStyle w:val="10"/>
        <w:widowControl/>
        <w:jc w:val="both"/>
      </w:pPr>
      <w:r>
        <w:rPr>
          <w:sz w:val="24"/>
          <w:szCs w:val="24"/>
        </w:rPr>
        <w:t>В решениях, подготовленных республиканской предметно-методической комиссией, указаны конкретные критерии оценивания некоторых задач.</w:t>
      </w:r>
    </w:p>
    <w:p w:rsidR="005D792D" w:rsidRDefault="005D792D">
      <w:pPr>
        <w:pStyle w:val="10"/>
        <w:widowControl/>
        <w:jc w:val="both"/>
      </w:pPr>
    </w:p>
    <w:p w:rsidR="005D792D" w:rsidRDefault="00D75558">
      <w:pPr>
        <w:pStyle w:val="10"/>
        <w:widowControl/>
        <w:jc w:val="both"/>
      </w:pPr>
      <w:r>
        <w:rPr>
          <w:sz w:val="24"/>
          <w:szCs w:val="24"/>
        </w:rPr>
        <w:lastRenderedPageBreak/>
        <w:t xml:space="preserve">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 </w:t>
      </w:r>
    </w:p>
    <w:p w:rsidR="005D792D" w:rsidRDefault="00D75558">
      <w:pPr>
        <w:pStyle w:val="10"/>
        <w:widowControl/>
        <w:jc w:val="both"/>
      </w:pPr>
      <w:r>
        <w:rPr>
          <w:sz w:val="24"/>
          <w:szCs w:val="24"/>
        </w:rPr>
        <w:t xml:space="preserve">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w:t>
      </w:r>
    </w:p>
    <w:p w:rsidR="005D792D" w:rsidRDefault="00D75558">
      <w:pPr>
        <w:pStyle w:val="10"/>
        <w:widowControl/>
        <w:jc w:val="both"/>
      </w:pPr>
      <w:r>
        <w:rPr>
          <w:sz w:val="24"/>
          <w:szCs w:val="24"/>
        </w:rPr>
        <w:t xml:space="preserve">в) баллы не выставляются «за старание Участника», в том числе за запись в работе большого по объему текста, но не содержащего продвижений в решении задачи; </w:t>
      </w:r>
    </w:p>
    <w:p w:rsidR="005D792D" w:rsidRDefault="00D75558">
      <w:pPr>
        <w:pStyle w:val="10"/>
        <w:spacing w:before="1"/>
        <w:ind w:right="119"/>
        <w:jc w:val="both"/>
      </w:pPr>
      <w:r>
        <w:rPr>
          <w:sz w:val="24"/>
          <w:szCs w:val="24"/>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w:t>
      </w:r>
    </w:p>
    <w:p w:rsidR="005D792D" w:rsidRDefault="00D75558">
      <w:pPr>
        <w:pStyle w:val="10"/>
        <w:spacing w:before="1"/>
        <w:ind w:right="119"/>
        <w:jc w:val="both"/>
      </w:pPr>
      <w:r>
        <w:rPr>
          <w:sz w:val="24"/>
          <w:szCs w:val="24"/>
        </w:rPr>
        <w:t>д) Задания математических олимпиад являются творческими, допускают несколько различных вариантов  решений.  Кроме  того,  необходимо  оценивать  частичные  продвижения в задачах (например, разбор важного случая, доказательство вспомогательного утверждения, нахождение примера и т.п.). Наконец, возможны логические и арифметические ошибки в решениях. Окончательные баллы по задаче должны учитывать всё вышеперечисленное.</w:t>
      </w:r>
    </w:p>
    <w:p w:rsidR="005D792D" w:rsidRDefault="00D75558">
      <w:pPr>
        <w:pStyle w:val="10"/>
        <w:spacing w:before="1"/>
        <w:ind w:right="119"/>
        <w:jc w:val="both"/>
      </w:pPr>
      <w:r>
        <w:rPr>
          <w:sz w:val="24"/>
          <w:szCs w:val="24"/>
        </w:rPr>
        <w:t>е) Обязательным является проведение двух независимых проверок каждого решения.</w:t>
      </w:r>
    </w:p>
    <w:sectPr w:rsidR="005D792D" w:rsidSect="005D792D">
      <w:pgSz w:w="12240" w:h="15840"/>
      <w:pgMar w:top="820" w:right="840" w:bottom="280" w:left="15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2"/>
  </w:compat>
  <w:rsids>
    <w:rsidRoot w:val="005D792D"/>
    <w:rsid w:val="00376B24"/>
    <w:rsid w:val="00422EE8"/>
    <w:rsid w:val="0044771C"/>
    <w:rsid w:val="005D792D"/>
    <w:rsid w:val="006469B9"/>
    <w:rsid w:val="006B6894"/>
    <w:rsid w:val="007C4A4E"/>
    <w:rsid w:val="00814A6D"/>
    <w:rsid w:val="00D75558"/>
    <w:rsid w:val="00F63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33B04-38D7-4B99-96F3-AF5E337AA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rsid w:val="005D792D"/>
    <w:pPr>
      <w:keepNext/>
      <w:keepLines/>
      <w:spacing w:before="17"/>
      <w:ind w:left="167"/>
      <w:outlineLvl w:val="0"/>
    </w:pPr>
    <w:rPr>
      <w:b/>
      <w:sz w:val="41"/>
      <w:szCs w:val="41"/>
    </w:rPr>
  </w:style>
  <w:style w:type="paragraph" w:styleId="2">
    <w:name w:val="heading 2"/>
    <w:basedOn w:val="10"/>
    <w:next w:val="10"/>
    <w:rsid w:val="005D792D"/>
    <w:pPr>
      <w:keepNext/>
      <w:keepLines/>
      <w:ind w:left="4643" w:hanging="310"/>
      <w:outlineLvl w:val="1"/>
    </w:pPr>
    <w:rPr>
      <w:b/>
      <w:sz w:val="34"/>
      <w:szCs w:val="34"/>
    </w:rPr>
  </w:style>
  <w:style w:type="paragraph" w:styleId="3">
    <w:name w:val="heading 3"/>
    <w:basedOn w:val="10"/>
    <w:next w:val="10"/>
    <w:rsid w:val="005D792D"/>
    <w:pPr>
      <w:keepNext/>
      <w:keepLines/>
      <w:spacing w:before="27"/>
      <w:ind w:left="119"/>
      <w:outlineLvl w:val="2"/>
    </w:pPr>
    <w:rPr>
      <w:b/>
      <w:sz w:val="24"/>
      <w:szCs w:val="24"/>
    </w:rPr>
  </w:style>
  <w:style w:type="paragraph" w:styleId="4">
    <w:name w:val="heading 4"/>
    <w:basedOn w:val="10"/>
    <w:next w:val="10"/>
    <w:rsid w:val="005D792D"/>
    <w:pPr>
      <w:keepNext/>
      <w:keepLines/>
      <w:spacing w:before="240" w:after="40"/>
      <w:contextualSpacing/>
      <w:outlineLvl w:val="3"/>
    </w:pPr>
    <w:rPr>
      <w:b/>
      <w:sz w:val="24"/>
      <w:szCs w:val="24"/>
    </w:rPr>
  </w:style>
  <w:style w:type="paragraph" w:styleId="5">
    <w:name w:val="heading 5"/>
    <w:basedOn w:val="10"/>
    <w:next w:val="10"/>
    <w:rsid w:val="005D792D"/>
    <w:pPr>
      <w:keepNext/>
      <w:keepLines/>
      <w:spacing w:before="220" w:after="40"/>
      <w:contextualSpacing/>
      <w:outlineLvl w:val="4"/>
    </w:pPr>
    <w:rPr>
      <w:b/>
    </w:rPr>
  </w:style>
  <w:style w:type="paragraph" w:styleId="6">
    <w:name w:val="heading 6"/>
    <w:basedOn w:val="10"/>
    <w:next w:val="10"/>
    <w:rsid w:val="005D792D"/>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5D792D"/>
  </w:style>
  <w:style w:type="table" w:customStyle="1" w:styleId="TableNormal">
    <w:name w:val="Table Normal"/>
    <w:rsid w:val="005D792D"/>
    <w:tblPr>
      <w:tblCellMar>
        <w:top w:w="0" w:type="dxa"/>
        <w:left w:w="0" w:type="dxa"/>
        <w:bottom w:w="0" w:type="dxa"/>
        <w:right w:w="0" w:type="dxa"/>
      </w:tblCellMar>
    </w:tblPr>
  </w:style>
  <w:style w:type="paragraph" w:styleId="a3">
    <w:name w:val="Title"/>
    <w:basedOn w:val="10"/>
    <w:next w:val="10"/>
    <w:rsid w:val="005D792D"/>
    <w:pPr>
      <w:keepNext/>
      <w:keepLines/>
      <w:spacing w:before="480" w:after="120"/>
      <w:contextualSpacing/>
    </w:pPr>
    <w:rPr>
      <w:b/>
      <w:sz w:val="72"/>
      <w:szCs w:val="72"/>
    </w:rPr>
  </w:style>
  <w:style w:type="paragraph" w:styleId="a4">
    <w:name w:val="Subtitle"/>
    <w:basedOn w:val="10"/>
    <w:next w:val="10"/>
    <w:rsid w:val="005D792D"/>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5D792D"/>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629</Words>
  <Characters>3586</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user2</cp:lastModifiedBy>
  <cp:revision>12</cp:revision>
  <dcterms:created xsi:type="dcterms:W3CDTF">2016-11-10T07:34:00Z</dcterms:created>
  <dcterms:modified xsi:type="dcterms:W3CDTF">2020-11-13T08:13:00Z</dcterms:modified>
</cp:coreProperties>
</file>